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ind w:left="1" w:hanging="3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приказу от______№____</w:t>
      </w:r>
    </w:p>
    <w:p w:rsidR="00000000" w:rsidDel="00000000" w:rsidP="00000000" w:rsidRDefault="00000000" w:rsidRPr="00000000" w14:paraId="00000003">
      <w:pPr>
        <w:ind w:left="1" w:hanging="3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178" w:hanging="2"/>
        <w:jc w:val="center"/>
        <w:rPr/>
      </w:pPr>
      <w:r w:rsidDel="00000000" w:rsidR="00000000" w:rsidRPr="00000000">
        <w:rPr>
          <w:rtl w:val="0"/>
        </w:rPr>
        <w:t xml:space="preserve">ФЕДЕРАЛЬНОЕ ГОСУДАРСТВЕННОЕ АВТОНОМНОЕ ОБРАЗОВАТЕЛЬНОЕ УЧРЕЖДЕНИЕ</w:t>
      </w:r>
    </w:p>
    <w:p w:rsidR="00000000" w:rsidDel="00000000" w:rsidP="00000000" w:rsidRDefault="00000000" w:rsidRPr="00000000" w14:paraId="00000005">
      <w:pPr>
        <w:ind w:left="0" w:right="178" w:hanging="2"/>
        <w:jc w:val="center"/>
        <w:rPr/>
      </w:pPr>
      <w:r w:rsidDel="00000000" w:rsidR="00000000" w:rsidRPr="00000000">
        <w:rPr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6">
      <w:pPr>
        <w:ind w:left="0" w:right="178" w:hanging="2"/>
        <w:jc w:val="center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i w:val="1"/>
          <w:color w:val="000000"/>
          <w:highlight w:val="white"/>
          <w:rtl w:val="0"/>
        </w:rPr>
        <w:t xml:space="preserve">«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САНКТ-ПЕТЕРБУРГСКИЙ ПОЛИТЕХНИЧЕСКИЙ УНИВЕРСИТЕТ </w:t>
      </w:r>
    </w:p>
    <w:p w:rsidR="00000000" w:rsidDel="00000000" w:rsidP="00000000" w:rsidRDefault="00000000" w:rsidRPr="00000000" w14:paraId="00000007">
      <w:pPr>
        <w:ind w:left="0" w:right="178" w:hanging="2"/>
        <w:jc w:val="center"/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ПЕТРА ВЕЛИКОГО»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46"/>
        <w:gridCol w:w="5245"/>
        <w:tblGridChange w:id="0">
          <w:tblGrid>
            <w:gridCol w:w="5246"/>
            <w:gridCol w:w="5245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" w:right="0" w:hanging="3"/>
              <w:rPr/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3114675" cy="1000125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" w:hanging="3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righ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" w:right="566" w:hanging="3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студенческом конкурсе молодежных проектов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«Мой университет»</w:t>
      </w:r>
    </w:p>
    <w:p w:rsidR="00000000" w:rsidDel="00000000" w:rsidP="00000000" w:rsidRDefault="00000000" w:rsidRPr="00000000" w14:paraId="0000001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Санкт-Петербург</w:t>
      </w:r>
    </w:p>
    <w:p w:rsidR="00000000" w:rsidDel="00000000" w:rsidP="00000000" w:rsidRDefault="00000000" w:rsidRPr="00000000" w14:paraId="0000002B">
      <w:pPr>
        <w:ind w:left="1" w:right="0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1.1. Настоящее Положение определяет порядок и условия проведения студенческого конкурса молодежных проектов (далее – Конкурс) в Санкт-петербургском политехническом университете Петра Великого (далее – университет).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1.2. Организатор Конкурса – Центр фандрайзинга и работы с выпускниками (далее – ЦФиРВ).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1.3. Порядок проведения Конкурса регламентируется данным положением.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ЦЕЛЬ И ЗАДАЧИ КОНКУРСА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2.1. Цель Конкурса – создание условий для самореализации студентов, формирования гражданской активности, развития лидерских качеств, улучшения социальной среды университета.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.73228346456688" w:hanging="141.73228346456688"/>
        <w:jc w:val="both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выявление и поддержка лучших проектов, направленных на решение социальных проблем и их дальнейшая реализация;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0000"/>
          <w:rtl w:val="0"/>
        </w:rPr>
        <w:t xml:space="preserve">повышение социальной активности молодежи и формирование навыков проектной деятельности;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0000"/>
          <w:rtl w:val="0"/>
        </w:rPr>
        <w:t xml:space="preserve">создание условий для раскрытия организаторского потенциала и личностного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роста молодежных лидеров;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hanging="283.46456692913375"/>
        <w:jc w:val="both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выявление и поддержка активных студентов, обладающих лидерскими качествами.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 В Конкурсе могут принимать участие студенты университета всех форм обучения,</w:t>
      </w:r>
      <w:r w:rsidDel="00000000" w:rsidR="00000000" w:rsidRPr="00000000">
        <w:rPr>
          <w:rtl w:val="0"/>
        </w:rPr>
        <w:t xml:space="preserve"> направлений подготовки, любого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ЭКСПЕРТНАЯ КОМИССИЯ КОНКУРСА</w:t>
      </w:r>
    </w:p>
    <w:p w:rsidR="00000000" w:rsidDel="00000000" w:rsidP="00000000" w:rsidRDefault="00000000" w:rsidRPr="00000000" w14:paraId="0000003F">
      <w:pPr>
        <w:ind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4.1. В целях оценки конкурсных проектов формируется Экспертная комиссия в количестве не менее 5 человек.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4.2. Для оценки молодежных проектов ЦФиРВ формирует и утверждает протоколом собрания состав Экспертной комиссии.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4.3. Экспертная комиссия формируется из числа представителей университета и компаний-партнеров, сфера деятельности которых соответствует направлениям, указанным в п.5.1 данного Положения.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color w:val="000000"/>
          <w:rtl w:val="0"/>
        </w:rPr>
        <w:t xml:space="preserve">. 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.1. Заявки принимаются по следующим направлениям: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развитие творческого потенциала;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</w:t>
      </w:r>
      <w:r w:rsidDel="00000000" w:rsidR="00000000" w:rsidRPr="00000000">
        <w:rPr>
          <w:rtl w:val="0"/>
        </w:rPr>
        <w:t xml:space="preserve">волонтерские</w:t>
      </w:r>
      <w:r w:rsidDel="00000000" w:rsidR="00000000" w:rsidRPr="00000000">
        <w:rPr>
          <w:color w:val="000000"/>
          <w:rtl w:val="0"/>
        </w:rPr>
        <w:t xml:space="preserve"> инициативы;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развитие студенческих медиаресурсов;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укрепление гражданского патриотизма;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популяризация благотворительной деятельности.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.2. Этапы Конкурса: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.2.1. I этап – прием заявок на участие в Конкурсе – 1 по 30 ноября.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.2.2. II этап – публичная презентация проектов и оценка экспертной комиссией – 1 по 15 декабря. Автору (авторам) проекта необходимо представить проект с использованием мультимедийной презентации. Время защиты проекта – не более 5 минут.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5.2.3. III этап - подведение итогов и торжественное награждение победителей.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.3 Участники Конкурса имеют право на получение методической помощи для написания проекта. Методическая и консультативная помощь участникам Конкурса осуществляется ЦФиРВ.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color w:val="000000"/>
          <w:rtl w:val="0"/>
        </w:rPr>
        <w:t xml:space="preserve">. ТРЕБОВАНИЯ К ОФОРМЛЕНИЮ ПРОЕКТОВ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.1. Обязательным условием участия в конкурсе является наличие заявки (Приложение 1).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.2. По желанию авторов проект может включать в себя приложения в виде фотографий, видеофрагментов, презентаций и другую информацию по выбранной теме, которая направлена на раскрытие содержания проекта.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.3. Срок реализации представленного на конкурс проекта – не более одного года.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.4. Проект должен быть предоставлен в двух вариантах: бумажном (в текстовом редакторе Microsoft Word) </w:t>
      </w:r>
      <w:r w:rsidDel="00000000" w:rsidR="00000000" w:rsidRPr="00000000">
        <w:rPr>
          <w:rtl w:val="0"/>
        </w:rPr>
        <w:t xml:space="preserve">по адресу: г. Санкт-Петербург, Политехническая, 29, кабинет 206 </w:t>
      </w:r>
      <w:r w:rsidDel="00000000" w:rsidR="00000000" w:rsidRPr="00000000">
        <w:rPr>
          <w:color w:val="000000"/>
          <w:rtl w:val="0"/>
        </w:rPr>
        <w:t xml:space="preserve">и электронном (на почту alumni@spbstu.ru)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smallCaps w:val="1"/>
          <w:rtl w:val="0"/>
        </w:rPr>
        <w:t xml:space="preserve">7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. ПОДВЕДЕНИЕ ИТОГОВ И НАГРАЖДЕНИЕ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.1. Решение об определении победителей Конкурса принимается экспертной комиссией с учетом результатов экспертной оценки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.2. Победителями Конкурса становятся участники, проекты которых наберут наибольшее количество баллов. Победители Конкурса награждаются дипломами и памятными подарками.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.3. Решение экспертной комиссии по результатам заседания оформляется протоколом, в котором указываются члены комиссии, присутствующие на заседании, список кандидатов, представленных в каждой номинации, количество баллов, набранных каждым из них при оценке, итоговый список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.4.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Проекты, представленные на Конкурс, оцениваются по 10-балльной системе по следующим критериям: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соответствие цели и задач проекта условиям настоящего Положения;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актуальность поставленной проблемы;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соответствие проблематики молодежного проекта потребностям </w:t>
      </w:r>
      <w:r w:rsidDel="00000000" w:rsidR="00000000" w:rsidRPr="00000000">
        <w:rPr>
          <w:rtl w:val="0"/>
        </w:rPr>
        <w:t xml:space="preserve">Санкт-Петербургского политехнического университета Петра Великого</w:t>
      </w:r>
      <w:r w:rsidDel="00000000" w:rsidR="00000000" w:rsidRPr="00000000">
        <w:rPr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инновационность и востребованность идеи проекта;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масштабность и возможность практического применения проекта;</w:t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реалистичность, обоснованность и оптимальность сметы расходов.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.5. При равенстве баллов председатель экспертной комиссии имеет право на дополнительный балл в пользу одного из участников.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.6. Победители проектов рекомендуются к подаче заявок на получение финансовой поддержки за счет средств, полученных от управления </w:t>
      </w:r>
      <w:r w:rsidDel="00000000" w:rsidR="00000000" w:rsidRPr="00000000">
        <w:rPr>
          <w:rtl w:val="0"/>
        </w:rPr>
        <w:t xml:space="preserve">Ц</w:t>
      </w:r>
      <w:r w:rsidDel="00000000" w:rsidR="00000000" w:rsidRPr="00000000">
        <w:rPr>
          <w:color w:val="000000"/>
          <w:rtl w:val="0"/>
        </w:rPr>
        <w:t xml:space="preserve">елевым капиталом Фонда целевого капитала развития СПбПУ.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color w:val="000000"/>
          <w:rtl w:val="0"/>
        </w:rPr>
        <w:t xml:space="preserve">. АВТОРСКИЕ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000000"/>
          <w:rtl w:val="0"/>
        </w:rPr>
        <w:t xml:space="preserve">.1. Представление материалов на Конкурс означает согласие их автора (авторского коллектива) на размещение в средствах массовой информации.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000000"/>
          <w:rtl w:val="0"/>
        </w:rPr>
        <w:t xml:space="preserve">.2. Конкурсные проекты не должны нарушать Законодательства Российской Федерации.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Приложение 1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1" w:hanging="3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Заявка на участие в конкурсе проектов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0.0" w:type="dxa"/>
        <w:tblLayout w:type="fixed"/>
        <w:tblLook w:val="0400"/>
      </w:tblPr>
      <w:tblGrid>
        <w:gridCol w:w="2547"/>
        <w:gridCol w:w="6804"/>
        <w:tblGridChange w:id="0">
          <w:tblGrid>
            <w:gridCol w:w="2547"/>
            <w:gridCol w:w="680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24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Ind w:w="0.0" w:type="dxa"/>
        <w:tblLayout w:type="fixed"/>
        <w:tblLook w:val="0400"/>
      </w:tblPr>
      <w:tblGrid>
        <w:gridCol w:w="2496"/>
        <w:gridCol w:w="6855"/>
        <w:tblGridChange w:id="0">
          <w:tblGrid>
            <w:gridCol w:w="2496"/>
            <w:gridCol w:w="6855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Оргкомитет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Ф.И.О. руководителя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Институт,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Мобильный телефон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Адрес электронной почты (обязательно)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Адреса социальных сетей проекта (ВКонтакте, Facebook, Instagram и др.)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0.0" w:type="dxa"/>
        <w:tblLayout w:type="fixed"/>
        <w:tblLook w:val="0400"/>
      </w:tblPr>
      <w:tblGrid>
        <w:gridCol w:w="472"/>
        <w:gridCol w:w="2784"/>
        <w:gridCol w:w="2704"/>
        <w:gridCol w:w="3385"/>
        <w:tblGridChange w:id="0">
          <w:tblGrid>
            <w:gridCol w:w="472"/>
            <w:gridCol w:w="2784"/>
            <w:gridCol w:w="2704"/>
            <w:gridCol w:w="338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Команда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Роль и функциональные обязанности в ходе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Компетентность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(образование, опыт профессиональной деятельности)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hd w:fill="ffffff" w:val="clear"/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left"/>
        <w:tblInd w:w="0.0" w:type="dxa"/>
        <w:tblLayout w:type="fixed"/>
        <w:tblLook w:val="0400"/>
      </w:tblPr>
      <w:tblGrid>
        <w:gridCol w:w="3539"/>
        <w:gridCol w:w="5812"/>
        <w:tblGridChange w:id="0">
          <w:tblGrid>
            <w:gridCol w:w="3539"/>
            <w:gridCol w:w="5812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Уровень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Институт, несколько институтов, ВУЗ, городской.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1.0" w:type="dxa"/>
        <w:jc w:val="left"/>
        <w:tblInd w:w="0.0" w:type="dxa"/>
        <w:tblLayout w:type="fixed"/>
        <w:tblLook w:val="0400"/>
      </w:tblPr>
      <w:tblGrid>
        <w:gridCol w:w="3539"/>
        <w:gridCol w:w="2410"/>
        <w:gridCol w:w="3402"/>
        <w:tblGridChange w:id="0">
          <w:tblGrid>
            <w:gridCol w:w="3539"/>
            <w:gridCol w:w="2410"/>
            <w:gridCol w:w="3402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2. Сроки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Начало реализации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Окончание реализации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(день, месяц,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(день, месяц, год)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1.0" w:type="dxa"/>
        <w:jc w:val="left"/>
        <w:tblInd w:w="0.0" w:type="dxa"/>
        <w:tblLayout w:type="fixed"/>
        <w:tblLook w:val="0400"/>
      </w:tblPr>
      <w:tblGrid>
        <w:gridCol w:w="3559"/>
        <w:gridCol w:w="5792"/>
        <w:tblGridChange w:id="0">
          <w:tblGrid>
            <w:gridCol w:w="3559"/>
            <w:gridCol w:w="57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3. Краткая аннотация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2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3">
            <w:pPr>
              <w:spacing w:after="24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1.0" w:type="dxa"/>
        <w:jc w:val="left"/>
        <w:tblInd w:w="0.0" w:type="dxa"/>
        <w:tblLayout w:type="fixed"/>
        <w:tblLook w:val="0400"/>
      </w:tblPr>
      <w:tblGrid>
        <w:gridCol w:w="3539"/>
        <w:gridCol w:w="5812"/>
        <w:tblGridChange w:id="0">
          <w:tblGrid>
            <w:gridCol w:w="3539"/>
            <w:gridCol w:w="58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4. Описание проблемы, решению/снижению остроты которой посвящен проект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8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Актуальность проекта для университета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left"/>
        <w:tblInd w:w="0.0" w:type="dxa"/>
        <w:tblLayout w:type="fixed"/>
        <w:tblLook w:val="0400"/>
      </w:tblPr>
      <w:tblGrid>
        <w:gridCol w:w="3566"/>
        <w:gridCol w:w="5785"/>
        <w:tblGridChange w:id="0">
          <w:tblGrid>
            <w:gridCol w:w="3566"/>
            <w:gridCol w:w="57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5. Основные целевые группы, </w:t>
              <w:br w:type="textWrapping"/>
              <w:t xml:space="preserve">на которые направлен проект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1.0" w:type="dxa"/>
        <w:jc w:val="left"/>
        <w:tblInd w:w="0.0" w:type="dxa"/>
        <w:tblLayout w:type="fixed"/>
        <w:tblLook w:val="0400"/>
      </w:tblPr>
      <w:tblGrid>
        <w:gridCol w:w="3539"/>
        <w:gridCol w:w="5812"/>
        <w:tblGridChange w:id="0">
          <w:tblGrid>
            <w:gridCol w:w="3539"/>
            <w:gridCol w:w="58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6. Основная цель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1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2">
            <w:pPr>
              <w:spacing w:after="24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1.0" w:type="dxa"/>
        <w:jc w:val="left"/>
        <w:tblInd w:w="0.0" w:type="dxa"/>
        <w:tblLayout w:type="fixed"/>
        <w:tblLook w:val="0400"/>
      </w:tblPr>
      <w:tblGrid>
        <w:gridCol w:w="3539"/>
        <w:gridCol w:w="5812"/>
        <w:tblGridChange w:id="0">
          <w:tblGrid>
            <w:gridCol w:w="3539"/>
            <w:gridCol w:w="5812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7. Задачи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0.0" w:type="dxa"/>
        <w:tblLayout w:type="fixed"/>
        <w:tblLook w:val="0400"/>
      </w:tblPr>
      <w:tblGrid>
        <w:gridCol w:w="472"/>
        <w:gridCol w:w="2047"/>
        <w:gridCol w:w="2476"/>
        <w:gridCol w:w="1474"/>
        <w:gridCol w:w="2876"/>
        <w:tblGridChange w:id="0">
          <w:tblGrid>
            <w:gridCol w:w="472"/>
            <w:gridCol w:w="2047"/>
            <w:gridCol w:w="2476"/>
            <w:gridCol w:w="1474"/>
            <w:gridCol w:w="2876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8. Календарный план реализации проекта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(последовательное описание основных методов/мероприятий проекта, ведущих к решению поставленных задач, </w:t>
              <w:br w:type="textWrapping"/>
              <w:t xml:space="preserve">с приведением показателей результативности и период их осуществления)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Решаемая задача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(в соответствии с пунктом 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Метод/мероприятие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и его 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Сроки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(дд.мм.гг)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Показатели результативности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spacing w:line="240" w:lineRule="auto"/>
              <w:ind w:left="502" w:hanging="36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5.0" w:type="dxa"/>
        <w:jc w:val="left"/>
        <w:tblInd w:w="0.0" w:type="dxa"/>
        <w:tblLayout w:type="fixed"/>
        <w:tblLook w:val="0400"/>
      </w:tblPr>
      <w:tblGrid>
        <w:gridCol w:w="4996"/>
        <w:gridCol w:w="4349"/>
        <w:tblGridChange w:id="0">
          <w:tblGrid>
            <w:gridCol w:w="4996"/>
            <w:gridCol w:w="434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9. Показатели результативности реализации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(Описание позитивных изменений, которые произойдут в результате реализации проекта по его завершению </w:t>
              <w:br w:type="textWrapping"/>
              <w:t xml:space="preserve">и в долгосрочной перспективе)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Количественные показатели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(указать подробно количественные результаты, включая численность вовлечения молодёжи</w:t>
              <w:br w:type="textWrapping"/>
              <w:t xml:space="preserve"> в мероприятия проекта)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Качественные показатели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(указать подробно качественные изменения)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after="240"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45.0" w:type="dxa"/>
        <w:jc w:val="left"/>
        <w:tblInd w:w="0.0" w:type="dxa"/>
        <w:tblLayout w:type="fixed"/>
        <w:tblLook w:val="0400"/>
      </w:tblPr>
      <w:tblGrid>
        <w:gridCol w:w="558"/>
        <w:gridCol w:w="3129"/>
        <w:gridCol w:w="2444"/>
        <w:gridCol w:w="1800"/>
        <w:gridCol w:w="1414"/>
        <w:tblGridChange w:id="0">
          <w:tblGrid>
            <w:gridCol w:w="558"/>
            <w:gridCol w:w="3129"/>
            <w:gridCol w:w="2444"/>
            <w:gridCol w:w="1800"/>
            <w:gridCol w:w="1414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shd w:fill="ccc1d9" w:val="clear"/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10. Детализированная смета расходов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hd w:fill="ccc1d9" w:val="clear"/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(Необходимо подробно указать все расходы. Включаются только статьи, на которые планируется потратить грантовые средства)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Стоимость (ед.),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Кол-во единиц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Всего,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ind w:left="0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Общая стоимость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ind w:left="0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Запрашиваемая сумма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51.0" w:type="dxa"/>
        <w:jc w:val="left"/>
        <w:tblInd w:w="0.0" w:type="dxa"/>
        <w:tblLayout w:type="fixed"/>
        <w:tblLook w:val="0400"/>
      </w:tblPr>
      <w:tblGrid>
        <w:gridCol w:w="7826"/>
        <w:gridCol w:w="1525"/>
        <w:tblGridChange w:id="0">
          <w:tblGrid>
            <w:gridCol w:w="7826"/>
            <w:gridCol w:w="15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4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11. Опыт успешной реализации проектов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hd w:fill="ccc1d9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(Следует описать опыт команды проекта по реализации социально значимых проектов </w:t>
              <w:br w:type="textWrapping"/>
              <w:t xml:space="preserve">в соответствующей сфере деятельности)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24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240" w:line="240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39">
      <w:pPr>
        <w:spacing w:after="200" w:line="240" w:lineRule="auto"/>
        <w:ind w:left="0"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6"/>
        <w:tblW w:w="4762.0" w:type="dxa"/>
        <w:jc w:val="left"/>
        <w:tblInd w:w="0.0" w:type="dxa"/>
        <w:tblLayout w:type="fixed"/>
        <w:tblLook w:val="0400"/>
      </w:tblPr>
      <w:tblGrid>
        <w:gridCol w:w="222"/>
        <w:gridCol w:w="4540"/>
        <w:tblGridChange w:id="0">
          <w:tblGrid>
            <w:gridCol w:w="222"/>
            <w:gridCol w:w="4540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ind w:left="0"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_________________________/И.О. Фамилия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0"/>
    <w:next w:val="a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0"/>
    <w:next w:val="a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0"/>
    <w:next w:val="a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next w:val="a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5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0"/>
    <w:uiPriority w:val="99"/>
    <w:pPr>
      <w:spacing w:after="180"/>
    </w:pPr>
    <w:rPr>
      <w:sz w:val="26"/>
      <w:szCs w:val="26"/>
    </w:rPr>
  </w:style>
  <w:style w:type="paragraph" w:styleId="10" w:customStyle="1">
    <w:name w:val="Название1"/>
    <w:basedOn w:val="a0"/>
    <w:pPr>
      <w:spacing w:after="100" w:afterAutospacing="1" w:before="100" w:beforeAutospacing="1"/>
    </w:pPr>
  </w:style>
  <w:style w:type="character" w:styleId="logintextwhite1" w:customStyle="1">
    <w:name w:val="logintextwhite1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0"/>
  </w:style>
  <w:style w:type="character" w:styleId="a8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ConsPlusNormal" w:customStyle="1">
    <w:name w:val="ConsPlusNormal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</w:rPr>
  </w:style>
  <w:style w:type="paragraph" w:styleId="a9">
    <w:name w:val="List Paragraph"/>
    <w:basedOn w:val="a0"/>
    <w:pPr>
      <w:spacing w:after="200" w:line="276" w:lineRule="auto"/>
      <w:ind w:left="720"/>
    </w:pPr>
    <w:rPr>
      <w:rFonts w:ascii="Calibri" w:cs="Calibri" w:eastAsia="Calibri" w:hAnsi="Calibri"/>
      <w:sz w:val="22"/>
      <w:szCs w:val="22"/>
      <w:lang w:eastAsia="en-US"/>
    </w:rPr>
  </w:style>
  <w:style w:type="table" w:styleId="aa">
    <w:name w:val="Table Grid"/>
    <w:basedOn w:val="a2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s1" w:customStyle="1">
    <w:name w:val="s1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s2" w:customStyle="1">
    <w:name w:val="s2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-" w:customStyle="1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  <w:lang w:bidi="ru-RU" w:eastAsia="ru-RU" w:val="ru-RU"/>
    </w:rPr>
  </w:style>
  <w:style w:type="paragraph" w:styleId="ConsPlusNonformat" w:customStyle="1">
    <w:name w:val="ConsPlusNonformat"/>
    <w:pPr>
      <w:widowControl w:val="0"/>
      <w:spacing w:line="100" w:lineRule="atLeast"/>
      <w:ind w:left="-1" w:leftChars="-1" w:hanging="1" w:hangingChars="1"/>
      <w:textDirection w:val="btLr"/>
      <w:textAlignment w:val="top"/>
      <w:outlineLvl w:val="0"/>
    </w:pPr>
    <w:rPr>
      <w:rFonts w:ascii="Courier New" w:eastAsia="Arial Unicode MS" w:hAnsi="Courier New"/>
      <w:position w:val="-1"/>
    </w:rPr>
  </w:style>
  <w:style w:type="paragraph" w:styleId="ab">
    <w:name w:val="Body Text Indent"/>
    <w:basedOn w:val="a0"/>
    <w:qFormat w:val="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styleId="ac" w:customStyle="1">
    <w:name w:val="Основной текст с отступом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d">
    <w:name w:val="header"/>
    <w:basedOn w:val="a0"/>
  </w:style>
  <w:style w:type="character" w:styleId="ae" w:customStyle="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 w:customStyle="1">
    <w:name w:val="Знак Знак"/>
    <w:basedOn w:val="a0"/>
    <w:pPr>
      <w:spacing w:after="160" w:line="240" w:lineRule="atLeast"/>
    </w:pPr>
    <w:rPr>
      <w:rFonts w:ascii="Verdana" w:hAnsi="Verdana"/>
      <w:sz w:val="20"/>
      <w:szCs w:val="20"/>
      <w:lang w:eastAsia="en-US" w:val="en-US"/>
    </w:rPr>
  </w:style>
  <w:style w:type="paragraph" w:styleId="a" w:customStyle="1">
    <w:name w:val="Абзац отчета"/>
    <w:basedOn w:val="a0"/>
    <w:pPr>
      <w:numPr>
        <w:ilvl w:val="1"/>
        <w:numId w:val="4"/>
      </w:numPr>
      <w:ind w:left="-1" w:hanging="1"/>
    </w:pPr>
    <w:rPr>
      <w:szCs w:val="20"/>
    </w:rPr>
  </w:style>
  <w:style w:type="paragraph" w:styleId="af0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eading1" w:customStyle="1">
    <w:name w:val="Heading #1_"/>
    <w:basedOn w:val="a1"/>
    <w:link w:val="Heading10"/>
    <w:rsid w:val="0099259B"/>
    <w:rPr>
      <w:rFonts w:ascii="Cambria" w:cs="Cambria" w:eastAsia="Cambria" w:hAnsi="Cambria"/>
      <w:b w:val="1"/>
      <w:bCs w:val="1"/>
      <w:sz w:val="26"/>
      <w:szCs w:val="26"/>
      <w:shd w:color="auto" w:fill="ffffff" w:val="clear"/>
    </w:rPr>
  </w:style>
  <w:style w:type="character" w:styleId="Bodytext11" w:customStyle="1">
    <w:name w:val="Body text (11)_"/>
    <w:basedOn w:val="a1"/>
    <w:link w:val="Bodytext110"/>
    <w:rsid w:val="0099259B"/>
    <w:rPr>
      <w:rFonts w:ascii="Cambria" w:cs="Cambria" w:eastAsia="Cambria" w:hAnsi="Cambria"/>
      <w:b w:val="1"/>
      <w:bCs w:val="1"/>
      <w:sz w:val="26"/>
      <w:szCs w:val="26"/>
      <w:shd w:color="auto" w:fill="ffffff" w:val="clear"/>
    </w:rPr>
  </w:style>
  <w:style w:type="paragraph" w:styleId="Heading10" w:customStyle="1">
    <w:name w:val="Heading #1"/>
    <w:basedOn w:val="a0"/>
    <w:link w:val="Heading1"/>
    <w:rsid w:val="0099259B"/>
    <w:pPr>
      <w:widowControl w:val="0"/>
      <w:shd w:color="auto" w:fill="ffffff" w:val="clear"/>
      <w:suppressAutoHyphens w:val="0"/>
      <w:spacing w:line="326" w:lineRule="exact"/>
      <w:ind w:left="0" w:leftChars="0" w:firstLine="0" w:firstLineChars="0"/>
      <w:jc w:val="center"/>
      <w:textDirection w:val="lrTb"/>
      <w:textAlignment w:val="auto"/>
    </w:pPr>
    <w:rPr>
      <w:rFonts w:ascii="Cambria" w:cs="Cambria" w:eastAsia="Cambria" w:hAnsi="Cambria"/>
      <w:b w:val="1"/>
      <w:bCs w:val="1"/>
      <w:position w:val="0"/>
      <w:sz w:val="26"/>
      <w:szCs w:val="26"/>
    </w:rPr>
  </w:style>
  <w:style w:type="paragraph" w:styleId="Bodytext110" w:customStyle="1">
    <w:name w:val="Body text (11)"/>
    <w:basedOn w:val="a0"/>
    <w:link w:val="Bodytext11"/>
    <w:rsid w:val="0099259B"/>
    <w:pPr>
      <w:widowControl w:val="0"/>
      <w:shd w:color="auto" w:fill="ffffff" w:val="clear"/>
      <w:suppressAutoHyphens w:val="0"/>
      <w:spacing w:line="326" w:lineRule="exact"/>
      <w:ind w:left="0" w:leftChars="0" w:firstLine="0" w:firstLineChars="0"/>
      <w:jc w:val="center"/>
      <w:textDirection w:val="lrTb"/>
      <w:textAlignment w:val="auto"/>
      <w:outlineLvl w:val="9"/>
    </w:pPr>
    <w:rPr>
      <w:rFonts w:ascii="Cambria" w:cs="Cambria" w:eastAsia="Cambria" w:hAnsi="Cambria"/>
      <w:b w:val="1"/>
      <w:bCs w:val="1"/>
      <w:position w:val="0"/>
      <w:sz w:val="26"/>
      <w:szCs w:val="26"/>
    </w:rPr>
  </w:style>
  <w:style w:type="character" w:styleId="apple-tab-span" w:customStyle="1">
    <w:name w:val="apple-tab-span"/>
    <w:basedOn w:val="a1"/>
    <w:rsid w:val="0099259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xS1//I9lMPZj1fRh2V7ZHLvYg==">AMUW2mUOJyuyXg4n+/0IJDsMDMucYGUsraAs709tkij9Sgz247XNqM2hJ5qwWggoQjfkW5OylJj0kK9WJaz6cVM/ZsADr80jq8UyUALnC9//tsrY9TR0rzO6uWiNDkXqDaYTLOvfKKl+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2020-09-09T10:51:00Z</dcterms:created>
  <dc:creator>kostrica_ov</dc:creator>
</cp:coreProperties>
</file>